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A" w:rsidRPr="00AF0C43" w:rsidRDefault="008201AA" w:rsidP="008201AA">
      <w:pPr>
        <w:widowControl w:val="0"/>
        <w:autoSpaceDE w:val="0"/>
        <w:autoSpaceDN w:val="0"/>
        <w:adjustRightInd w:val="0"/>
        <w:rPr>
          <w:rFonts w:cs="Times New Roman"/>
          <w:b/>
          <w:sz w:val="28"/>
        </w:rPr>
      </w:pPr>
      <w:r w:rsidRPr="00AF0C43">
        <w:rPr>
          <w:rFonts w:cs="Times New Roman"/>
          <w:b/>
          <w:sz w:val="28"/>
        </w:rPr>
        <w:t>Reading Panels</w:t>
      </w:r>
      <w:r>
        <w:rPr>
          <w:rFonts w:cs="Times New Roman"/>
          <w:b/>
          <w:sz w:val="28"/>
        </w:rPr>
        <w:t xml:space="preserve"> Weeks 9-15</w:t>
      </w:r>
      <w:r w:rsidRPr="00AF0C43">
        <w:rPr>
          <w:rFonts w:cs="Times New Roman"/>
          <w:b/>
          <w:sz w:val="28"/>
        </w:rPr>
        <w:t>: Recognizing Writing Strategies</w:t>
      </w:r>
    </w:p>
    <w:p w:rsidR="008201AA" w:rsidRDefault="008201AA" w:rsidP="008201A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What is the author saying (main idea)? Note key words, quotes, examples, facts and findings. Ask a grounded question (follow-up question optional), update with current events. Upload to class </w:t>
      </w:r>
      <w:proofErr w:type="spellStart"/>
      <w:r>
        <w:rPr>
          <w:rFonts w:cs="Times New Roman"/>
        </w:rPr>
        <w:t>Gdrive</w:t>
      </w:r>
      <w:proofErr w:type="spellEnd"/>
      <w:r>
        <w:rPr>
          <w:rFonts w:cs="Times New Roman"/>
        </w:rPr>
        <w:t>.</w:t>
      </w:r>
    </w:p>
    <w:p w:rsidR="008201AA" w:rsidRDefault="008201AA" w:rsidP="008201A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201AA" w:rsidRDefault="008201AA" w:rsidP="008201AA">
      <w:pPr>
        <w:pStyle w:val="BodyText"/>
        <w:ind w:right="-720"/>
        <w:rPr>
          <w:i/>
          <w:sz w:val="24"/>
        </w:rPr>
      </w:pPr>
      <w:r w:rsidRPr="00656AA4">
        <w:rPr>
          <w:i/>
          <w:sz w:val="24"/>
        </w:rPr>
        <w:t>Benjamin Barber, “The Educated Student: Global Citizen or Global Consumer?” [</w:t>
      </w:r>
      <w:proofErr w:type="gramStart"/>
      <w:r w:rsidRPr="00656AA4">
        <w:rPr>
          <w:i/>
          <w:sz w:val="24"/>
        </w:rPr>
        <w:t>instructor</w:t>
      </w:r>
      <w:proofErr w:type="gramEnd"/>
      <w:r w:rsidRPr="00656AA4">
        <w:rPr>
          <w:i/>
          <w:sz w:val="24"/>
        </w:rPr>
        <w:t xml:space="preserve"> demo]</w:t>
      </w:r>
    </w:p>
    <w:p w:rsidR="008201AA" w:rsidRDefault="008201AA" w:rsidP="008201AA">
      <w:pPr>
        <w:pStyle w:val="BodyText"/>
        <w:ind w:right="-720"/>
        <w:rPr>
          <w:i/>
          <w:sz w:val="24"/>
        </w:rPr>
      </w:pPr>
    </w:p>
    <w:p w:rsidR="008201AA" w:rsidRDefault="008201AA" w:rsidP="008201AA">
      <w:r>
        <w:t xml:space="preserve">Betsy Taylor and Dave </w:t>
      </w:r>
      <w:proofErr w:type="spellStart"/>
      <w:r>
        <w:t>Tilford</w:t>
      </w:r>
      <w:proofErr w:type="spellEnd"/>
      <w:r>
        <w:t xml:space="preserve"> (handout), “Why Consumption Matters,” Thurs, April 13</w:t>
      </w:r>
      <w:r w:rsidRPr="00457132">
        <w:rPr>
          <w:vertAlign w:val="superscript"/>
        </w:rPr>
        <w:t>th</w:t>
      </w:r>
      <w:r>
        <w:t xml:space="preserve">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E51A88">
            <w:pPr>
              <w:rPr>
                <w:vertAlign w:val="superscript"/>
              </w:rPr>
            </w:pPr>
          </w:p>
          <w:p w:rsidR="008201AA" w:rsidRDefault="008201AA" w:rsidP="00E51A88">
            <w:pPr>
              <w:rPr>
                <w:vertAlign w:val="superscript"/>
              </w:rPr>
            </w:pPr>
          </w:p>
        </w:tc>
        <w:tc>
          <w:tcPr>
            <w:tcW w:w="4968" w:type="dxa"/>
          </w:tcPr>
          <w:p w:rsidR="008201AA" w:rsidRDefault="008201AA" w:rsidP="00E51A88">
            <w:pPr>
              <w:rPr>
                <w:vertAlign w:val="superscript"/>
              </w:rPr>
            </w:pPr>
          </w:p>
        </w:tc>
      </w:tr>
      <w:tr w:rsidR="008201AA">
        <w:tc>
          <w:tcPr>
            <w:tcW w:w="4968" w:type="dxa"/>
          </w:tcPr>
          <w:p w:rsidR="008201AA" w:rsidRDefault="008201AA" w:rsidP="00E51A88">
            <w:pPr>
              <w:rPr>
                <w:vertAlign w:val="superscript"/>
              </w:rPr>
            </w:pPr>
          </w:p>
          <w:p w:rsidR="008201AA" w:rsidRDefault="008201AA" w:rsidP="00E51A88">
            <w:pPr>
              <w:rPr>
                <w:vertAlign w:val="superscript"/>
              </w:rPr>
            </w:pPr>
          </w:p>
        </w:tc>
        <w:tc>
          <w:tcPr>
            <w:tcW w:w="4968" w:type="dxa"/>
          </w:tcPr>
          <w:p w:rsidR="008201AA" w:rsidRDefault="008201AA" w:rsidP="00E51A88">
            <w:pPr>
              <w:rPr>
                <w:vertAlign w:val="superscript"/>
              </w:rPr>
            </w:pPr>
          </w:p>
        </w:tc>
      </w:tr>
    </w:tbl>
    <w:p w:rsidR="008201AA" w:rsidRDefault="008201AA" w:rsidP="008201AA">
      <w:pPr>
        <w:rPr>
          <w:vertAlign w:val="superscript"/>
        </w:rPr>
      </w:pPr>
    </w:p>
    <w:p w:rsidR="008201AA" w:rsidRPr="00B83A43" w:rsidRDefault="008201AA" w:rsidP="008201AA">
      <w:pPr>
        <w:widowControl w:val="0"/>
        <w:autoSpaceDE w:val="0"/>
        <w:autoSpaceDN w:val="0"/>
        <w:adjustRightInd w:val="0"/>
      </w:pPr>
      <w:r>
        <w:t>Rachel Carson (346-353), “The Obligation to Endure,” Thurs, April 13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201AA" w:rsidRDefault="008201AA" w:rsidP="00476C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68" w:type="dxa"/>
          </w:tcPr>
          <w:p w:rsidR="008201AA" w:rsidRDefault="008201AA" w:rsidP="00476C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201AA" w:rsidRPr="00B83A43" w:rsidRDefault="008201AA" w:rsidP="008201A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201AA" w:rsidRDefault="008201AA" w:rsidP="008201AA">
      <w:pPr>
        <w:rPr>
          <w:rFonts w:cs="Times New Roman"/>
        </w:rPr>
      </w:pPr>
      <w:r>
        <w:rPr>
          <w:rFonts w:cs="Times New Roman"/>
        </w:rPr>
        <w:t xml:space="preserve">Andy Rooney (353-356), “Talking Trash,” </w:t>
      </w:r>
      <w:r>
        <w:t>Thurs, April 13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>
            <w:pPr>
              <w:rPr>
                <w:rFonts w:cs="Times New Roman"/>
              </w:rPr>
            </w:pPr>
          </w:p>
          <w:p w:rsidR="008201AA" w:rsidRDefault="008201AA" w:rsidP="00476CCE">
            <w:pPr>
              <w:rPr>
                <w:rFonts w:cs="Times New Roman"/>
              </w:rPr>
            </w:pPr>
          </w:p>
        </w:tc>
        <w:tc>
          <w:tcPr>
            <w:tcW w:w="4968" w:type="dxa"/>
          </w:tcPr>
          <w:p w:rsidR="008201AA" w:rsidRDefault="008201AA" w:rsidP="00476CCE">
            <w:pPr>
              <w:rPr>
                <w:rFonts w:cs="Times New Roman"/>
              </w:rPr>
            </w:pPr>
          </w:p>
        </w:tc>
      </w:tr>
    </w:tbl>
    <w:p w:rsidR="008201AA" w:rsidRDefault="008201AA" w:rsidP="008201AA">
      <w:pPr>
        <w:rPr>
          <w:rFonts w:cs="Times New Roman"/>
        </w:rPr>
      </w:pPr>
    </w:p>
    <w:p w:rsidR="008201AA" w:rsidRDefault="008201AA" w:rsidP="008201AA">
      <w:r>
        <w:t>Al Gore (356-362), “We Can’t Wish Away Climate Change,” Thurs, April 20</w:t>
      </w:r>
      <w:r w:rsidRPr="00E94984">
        <w:rPr>
          <w:vertAlign w:val="superscript"/>
        </w:rPr>
        <w:t>th</w:t>
      </w:r>
      <w:r>
        <w:t xml:space="preserve"> 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 xml:space="preserve">Daniel </w:t>
      </w:r>
      <w:proofErr w:type="spellStart"/>
      <w:r>
        <w:t>Botkin</w:t>
      </w:r>
      <w:proofErr w:type="spellEnd"/>
      <w:r>
        <w:t xml:space="preserve"> (362-367), “Global Warming Delusions,” Thurs, April 20</w:t>
      </w:r>
      <w:r w:rsidRPr="00E94984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 xml:space="preserve">Jane </w:t>
      </w:r>
      <w:proofErr w:type="spellStart"/>
      <w:r>
        <w:t>Goodall</w:t>
      </w:r>
      <w:proofErr w:type="spellEnd"/>
      <w:r>
        <w:t xml:space="preserve"> (367-372), “To Save Chimps,” Thurs, April 20</w:t>
      </w:r>
      <w:r w:rsidRPr="00E94984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 xml:space="preserve">Bill </w:t>
      </w:r>
      <w:proofErr w:type="spellStart"/>
      <w:r>
        <w:t>McKibben</w:t>
      </w:r>
      <w:proofErr w:type="spellEnd"/>
      <w:r>
        <w:t xml:space="preserve"> (373-378), “A Place that Makes Sense,” Thurs, April 27</w:t>
      </w:r>
      <w:r w:rsidRPr="00E94984">
        <w:rPr>
          <w:vertAlign w:val="superscript"/>
        </w:rPr>
        <w:t>th</w:t>
      </w:r>
      <w:r>
        <w:t xml:space="preserve">   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Jonathan Schell (378-383), “A Hole in the World,” Thurs, April 27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865A87"/>
          <w:p w:rsidR="008201AA" w:rsidRDefault="008201AA" w:rsidP="00865A87"/>
        </w:tc>
        <w:tc>
          <w:tcPr>
            <w:tcW w:w="4968" w:type="dxa"/>
          </w:tcPr>
          <w:p w:rsidR="008201AA" w:rsidRDefault="008201AA" w:rsidP="00865A87"/>
        </w:tc>
      </w:tr>
    </w:tbl>
    <w:p w:rsidR="008201AA" w:rsidRDefault="008201AA" w:rsidP="008201AA"/>
    <w:p w:rsidR="008201AA" w:rsidRDefault="008201AA" w:rsidP="008201AA"/>
    <w:p w:rsidR="008201AA" w:rsidRPr="008569C7" w:rsidRDefault="008201AA" w:rsidP="008201AA">
      <w:pPr>
        <w:rPr>
          <w:i/>
        </w:rPr>
      </w:pPr>
      <w:r w:rsidRPr="008569C7">
        <w:t xml:space="preserve">Wild Card from Ch 2-9 on ethnicity, identity, America v. World, language, sex and gender roles, globalization, culture wars, war and peace, terrorism. Indicate author and page numbers. </w:t>
      </w:r>
      <w:r>
        <w:rPr>
          <w:i/>
        </w:rPr>
        <w:t xml:space="preserve">You may </w:t>
      </w:r>
      <w:r w:rsidRPr="008569C7">
        <w:rPr>
          <w:i/>
        </w:rPr>
        <w:t>present individually or in pairs.</w:t>
      </w:r>
    </w:p>
    <w:p w:rsidR="008201AA" w:rsidRDefault="008201AA" w:rsidP="008201AA">
      <w:pPr>
        <w:rPr>
          <w:i/>
        </w:rPr>
      </w:pPr>
    </w:p>
    <w:p w:rsidR="008201AA" w:rsidRPr="00721147" w:rsidRDefault="008201AA" w:rsidP="008201AA">
      <w:r>
        <w:t>Wild Card, Thurs, April 27</w:t>
      </w:r>
      <w:r w:rsidRPr="00E94984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Wild Card, Thurs, April 27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Wild Card, Thurs, May 4</w:t>
      </w:r>
      <w:r w:rsidRPr="00E94984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Pr="00721147" w:rsidRDefault="008201AA" w:rsidP="008201AA">
      <w:r>
        <w:t>Wild Card, Thurs, May 4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Wild Card, Thurs, May 4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Wild Card, Thurs, May 4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Wild Card, Thurs, May 4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r>
        <w:t>Wild Card, Thurs, May 4</w:t>
      </w:r>
      <w:r w:rsidRPr="00457132">
        <w:rPr>
          <w:vertAlign w:val="superscript"/>
        </w:rPr>
        <w:t>th</w:t>
      </w:r>
    </w:p>
    <w:tbl>
      <w:tblPr>
        <w:tblStyle w:val="TableGrid"/>
        <w:tblW w:w="0" w:type="auto"/>
        <w:tblLook w:val="00BF"/>
      </w:tblPr>
      <w:tblGrid>
        <w:gridCol w:w="4968"/>
        <w:gridCol w:w="4968"/>
      </w:tblGrid>
      <w:tr w:rsidR="008201AA">
        <w:tc>
          <w:tcPr>
            <w:tcW w:w="4968" w:type="dxa"/>
          </w:tcPr>
          <w:p w:rsidR="008201AA" w:rsidRDefault="008201AA" w:rsidP="00476CCE"/>
          <w:p w:rsidR="008201AA" w:rsidRDefault="008201AA" w:rsidP="00476CCE"/>
        </w:tc>
        <w:tc>
          <w:tcPr>
            <w:tcW w:w="4968" w:type="dxa"/>
          </w:tcPr>
          <w:p w:rsidR="008201AA" w:rsidRDefault="008201AA" w:rsidP="00476CCE"/>
        </w:tc>
      </w:tr>
    </w:tbl>
    <w:p w:rsidR="008201AA" w:rsidRDefault="008201AA" w:rsidP="008201AA"/>
    <w:p w:rsidR="008201AA" w:rsidRDefault="008201AA" w:rsidP="008201AA">
      <w:pPr>
        <w:spacing w:line="360" w:lineRule="auto"/>
        <w:rPr>
          <w:u w:val="single"/>
        </w:rPr>
      </w:pPr>
      <w:r>
        <w:rPr>
          <w:u w:val="single"/>
        </w:rPr>
        <w:t xml:space="preserve">Suggested wild cards (or any NWR reading except </w:t>
      </w:r>
      <w:proofErr w:type="spellStart"/>
      <w:r>
        <w:rPr>
          <w:u w:val="single"/>
        </w:rPr>
        <w:t>ch</w:t>
      </w:r>
      <w:proofErr w:type="spellEnd"/>
      <w:r>
        <w:rPr>
          <w:u w:val="single"/>
        </w:rPr>
        <w:t xml:space="preserve"> 10-11):</w:t>
      </w:r>
    </w:p>
    <w:p w:rsidR="008201AA" w:rsidRDefault="008201AA" w:rsidP="008201AA">
      <w:pPr>
        <w:spacing w:line="360" w:lineRule="auto"/>
      </w:pPr>
      <w:r>
        <w:t xml:space="preserve">Barbara </w:t>
      </w:r>
      <w:proofErr w:type="spellStart"/>
      <w:r>
        <w:t>Ehrereich</w:t>
      </w:r>
      <w:proofErr w:type="spellEnd"/>
      <w:r>
        <w:t xml:space="preserve"> and Annette Fuentes (158-167) on women working in factories.</w:t>
      </w:r>
    </w:p>
    <w:p w:rsidR="008201AA" w:rsidRDefault="008201AA" w:rsidP="008201AA">
      <w:pPr>
        <w:spacing w:line="360" w:lineRule="auto"/>
      </w:pPr>
      <w:r>
        <w:t>Karen Armstrong (269-271) on fundamentalism v. secularism in the modern world.</w:t>
      </w:r>
    </w:p>
    <w:p w:rsidR="008201AA" w:rsidRDefault="008201AA" w:rsidP="008201AA">
      <w:pPr>
        <w:spacing w:line="360" w:lineRule="auto"/>
      </w:pPr>
      <w:r>
        <w:t xml:space="preserve">Naomi </w:t>
      </w:r>
      <w:proofErr w:type="spellStart"/>
      <w:r>
        <w:t>Shihab</w:t>
      </w:r>
      <w:proofErr w:type="spellEnd"/>
      <w:r>
        <w:t xml:space="preserve"> Nye (289-295) on a personal appeal to terrorists.</w:t>
      </w:r>
    </w:p>
    <w:p w:rsidR="008201AA" w:rsidRDefault="008201AA" w:rsidP="008201AA">
      <w:pPr>
        <w:spacing w:line="360" w:lineRule="auto"/>
      </w:pPr>
      <w:proofErr w:type="gramStart"/>
      <w:r>
        <w:t xml:space="preserve">Reza </w:t>
      </w:r>
      <w:proofErr w:type="spellStart"/>
      <w:r>
        <w:t>Aslan</w:t>
      </w:r>
      <w:proofErr w:type="spellEnd"/>
      <w:r>
        <w:t xml:space="preserve"> (299-302) on “the war on terror”—why this term can be misleading.</w:t>
      </w:r>
      <w:proofErr w:type="gramEnd"/>
    </w:p>
    <w:p w:rsidR="008201AA" w:rsidRDefault="008201AA" w:rsidP="008201AA">
      <w:pPr>
        <w:spacing w:line="360" w:lineRule="auto"/>
      </w:pPr>
      <w:r>
        <w:t xml:space="preserve">Ann </w:t>
      </w:r>
      <w:proofErr w:type="spellStart"/>
      <w:r>
        <w:t>Applebaum</w:t>
      </w:r>
      <w:proofErr w:type="spellEnd"/>
      <w:r>
        <w:t xml:space="preserve"> (302-305) on Homeland Security and TSA checkpoints at airports.</w:t>
      </w:r>
    </w:p>
    <w:p w:rsidR="008201AA" w:rsidRDefault="008201AA" w:rsidP="008201AA">
      <w:pPr>
        <w:spacing w:line="360" w:lineRule="auto"/>
      </w:pPr>
      <w:proofErr w:type="spellStart"/>
      <w:r>
        <w:t>Arundhati</w:t>
      </w:r>
      <w:proofErr w:type="spellEnd"/>
      <w:r>
        <w:t xml:space="preserve"> Roy (305-311) on the American way of life and anti-American sentiments abroad.</w:t>
      </w:r>
    </w:p>
    <w:p w:rsidR="008201AA" w:rsidRDefault="008201AA" w:rsidP="008201AA">
      <w:pPr>
        <w:spacing w:line="360" w:lineRule="auto"/>
      </w:pPr>
      <w:r>
        <w:t>Jared Diamond (191-195) on globalization as both ancient and modern phenomena.</w:t>
      </w:r>
    </w:p>
    <w:p w:rsidR="008201AA" w:rsidRDefault="008201AA" w:rsidP="008201AA">
      <w:pPr>
        <w:spacing w:line="360" w:lineRule="auto"/>
      </w:pPr>
      <w:r>
        <w:t>Amy Chua (216-223) on why Chinese mothers are superior.</w:t>
      </w:r>
    </w:p>
    <w:p w:rsidR="008201AA" w:rsidRDefault="008201AA" w:rsidP="008201AA">
      <w:pPr>
        <w:spacing w:line="360" w:lineRule="auto"/>
      </w:pPr>
      <w:proofErr w:type="spellStart"/>
      <w:r>
        <w:t>Oanh</w:t>
      </w:r>
      <w:proofErr w:type="spellEnd"/>
      <w:r>
        <w:t xml:space="preserve"> Ha (252-257) on immigration and intercultural dating.</w:t>
      </w:r>
    </w:p>
    <w:p w:rsidR="008201AA" w:rsidRDefault="008201AA" w:rsidP="008201AA">
      <w:pPr>
        <w:spacing w:line="360" w:lineRule="auto"/>
      </w:pPr>
      <w:r>
        <w:t xml:space="preserve">Elaine </w:t>
      </w:r>
      <w:proofErr w:type="spellStart"/>
      <w:r>
        <w:t>Sciolino</w:t>
      </w:r>
      <w:proofErr w:type="spellEnd"/>
      <w:r>
        <w:t xml:space="preserve"> (138-143) on Muslim dress in France—covering and uncovering the body.</w:t>
      </w:r>
    </w:p>
    <w:p w:rsidR="008201AA" w:rsidRDefault="008201AA" w:rsidP="008201AA">
      <w:pPr>
        <w:spacing w:line="360" w:lineRule="auto"/>
      </w:pPr>
      <w:r>
        <w:t xml:space="preserve">Diana </w:t>
      </w:r>
      <w:proofErr w:type="spellStart"/>
      <w:r>
        <w:t>Wagman</w:t>
      </w:r>
      <w:proofErr w:type="spellEnd"/>
      <w:r>
        <w:t xml:space="preserve"> (210-213) on wearing a </w:t>
      </w:r>
      <w:proofErr w:type="spellStart"/>
      <w:r>
        <w:t>burka</w:t>
      </w:r>
      <w:proofErr w:type="spellEnd"/>
      <w:r>
        <w:t xml:space="preserve"> in California.</w:t>
      </w:r>
    </w:p>
    <w:p w:rsidR="008201AA" w:rsidRDefault="008201AA" w:rsidP="008201AA">
      <w:pPr>
        <w:spacing w:line="360" w:lineRule="auto"/>
      </w:pPr>
      <w:r>
        <w:t xml:space="preserve">Johan </w:t>
      </w:r>
      <w:proofErr w:type="spellStart"/>
      <w:r>
        <w:t>Norberg</w:t>
      </w:r>
      <w:proofErr w:type="spellEnd"/>
      <w:r>
        <w:t xml:space="preserve"> (187-191) on Nike as a global product icon and its offshore factories.</w:t>
      </w:r>
    </w:p>
    <w:p w:rsidR="008201AA" w:rsidRDefault="008201AA" w:rsidP="008201AA">
      <w:pPr>
        <w:spacing w:line="360" w:lineRule="auto"/>
      </w:pPr>
      <w:r>
        <w:t xml:space="preserve">Mike </w:t>
      </w:r>
      <w:proofErr w:type="spellStart"/>
      <w:r>
        <w:t>Ceaser</w:t>
      </w:r>
      <w:proofErr w:type="spellEnd"/>
      <w:r>
        <w:t xml:space="preserve"> (148-153) on human trafficking from South America to North America.</w:t>
      </w:r>
    </w:p>
    <w:p w:rsidR="008201AA" w:rsidRDefault="008201AA" w:rsidP="008201AA"/>
    <w:p w:rsidR="008201AA" w:rsidRDefault="008201AA" w:rsidP="008201AA"/>
    <w:p w:rsidR="008201AA" w:rsidRDefault="008201AA" w:rsidP="008201AA"/>
    <w:p w:rsidR="008201AA" w:rsidRDefault="008201AA" w:rsidP="008201AA"/>
    <w:p w:rsidR="008201AA" w:rsidRPr="00777ACF" w:rsidRDefault="008201AA" w:rsidP="008201AA"/>
    <w:p w:rsidR="008201AA" w:rsidRDefault="008201AA" w:rsidP="008201AA"/>
    <w:p w:rsidR="004C550D" w:rsidRDefault="008201AA"/>
    <w:sectPr w:rsidR="004C550D" w:rsidSect="00E94984">
      <w:pgSz w:w="12240" w:h="15840"/>
      <w:pgMar w:top="1008" w:right="1224" w:bottom="100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01AA"/>
    <w:rsid w:val="008201A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A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0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01AA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201AA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2008</Characters>
  <Application>Microsoft Macintosh Word</Application>
  <DocSecurity>0</DocSecurity>
  <Lines>34</Lines>
  <Paragraphs>4</Paragraphs>
  <ScaleCrop>false</ScaleCrop>
  <Company>Ohlone College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1</cp:revision>
  <dcterms:created xsi:type="dcterms:W3CDTF">2017-03-23T17:10:00Z</dcterms:created>
  <dcterms:modified xsi:type="dcterms:W3CDTF">2017-03-23T17:12:00Z</dcterms:modified>
</cp:coreProperties>
</file>